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20" w:beforeLines="50" w:after="120" w:afterLines="50" w:line="240" w:lineRule="auto"/>
        <w:ind w:firstLine="0" w:firstLineChars="0"/>
        <w:rPr>
          <w:rFonts w:ascii="宋体" w:hAnsi="宋体"/>
          <w:bCs/>
          <w:iCs/>
          <w:color w:val="000000"/>
          <w:sz w:val="18"/>
          <w:szCs w:val="18"/>
        </w:rPr>
      </w:pPr>
      <w:r>
        <w:rPr>
          <w:rFonts w:hint="eastAsia" w:ascii="宋体" w:hAnsi="宋体"/>
          <w:bCs/>
          <w:iCs/>
          <w:color w:val="000000"/>
          <w:sz w:val="18"/>
          <w:szCs w:val="18"/>
        </w:rPr>
        <w:t>证券代码：300498                                                                   证券简称：温氏股份</w:t>
      </w:r>
    </w:p>
    <w:p>
      <w:pPr>
        <w:widowControl w:val="0"/>
        <w:spacing w:before="120" w:beforeLines="50" w:after="120" w:afterLines="50" w:line="240" w:lineRule="auto"/>
        <w:ind w:firstLine="0" w:firstLineChars="0"/>
        <w:jc w:val="center"/>
        <w:rPr>
          <w:rFonts w:ascii="宋体" w:hAnsi="宋体"/>
          <w:b/>
          <w:bCs/>
          <w:iCs/>
          <w:color w:val="000000"/>
          <w:sz w:val="32"/>
          <w:szCs w:val="32"/>
        </w:rPr>
      </w:pPr>
      <w:r>
        <w:rPr>
          <w:rFonts w:hint="eastAsia" w:ascii="宋体" w:hAnsi="宋体"/>
          <w:b/>
          <w:bCs/>
          <w:iCs/>
          <w:color w:val="000000"/>
          <w:sz w:val="32"/>
          <w:szCs w:val="32"/>
        </w:rPr>
        <w:t>温氏食品集团股份有限公司投资者关系活动记录表</w:t>
      </w:r>
    </w:p>
    <w:p>
      <w:pPr>
        <w:widowControl w:val="0"/>
        <w:spacing w:line="240" w:lineRule="auto"/>
        <w:ind w:firstLine="0" w:firstLineChars="0"/>
        <w:rPr>
          <w:rFonts w:ascii="宋体" w:hAnsi="宋体"/>
          <w:bCs/>
          <w:iCs/>
          <w:color w:val="000000"/>
          <w:sz w:val="18"/>
          <w:szCs w:val="18"/>
        </w:rPr>
      </w:pPr>
      <w:r>
        <w:rPr>
          <w:rFonts w:hint="eastAsia" w:ascii="宋体" w:hAnsi="宋体"/>
          <w:bCs/>
          <w:iCs/>
          <w:color w:val="000000"/>
          <w:sz w:val="18"/>
          <w:szCs w:val="18"/>
        </w:rPr>
        <w:t xml:space="preserve">                                                                                           编号：2018037</w:t>
      </w:r>
    </w:p>
    <w:tbl>
      <w:tblPr>
        <w:tblStyle w:val="7"/>
        <w:tblW w:w="9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szCs w:val="21"/>
                <w:shd w:val="clear" w:color="auto" w:fill="FFFFFF"/>
              </w:rPr>
            </w:pPr>
            <w:r>
              <w:rPr>
                <w:rFonts w:hint="eastAsia" w:ascii="宋体" w:hAnsi="宋体" w:cs="宋体"/>
                <w:bCs/>
                <w:color w:val="000000"/>
                <w:kern w:val="0"/>
                <w:szCs w:val="21"/>
                <w:shd w:val="clear" w:color="auto" w:fill="FFFFFF"/>
              </w:rPr>
              <w:t>投资者关系活动类别</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52"/>
            </w:r>
            <w:r>
              <w:rPr>
                <w:rFonts w:hint="eastAsia" w:ascii="宋体" w:hAnsi="宋体" w:cs="宋体"/>
                <w:bCs/>
                <w:color w:val="000000"/>
                <w:kern w:val="0"/>
                <w:szCs w:val="21"/>
                <w:shd w:val="clear" w:color="auto" w:fill="FFFFFF"/>
              </w:rPr>
              <w:t xml:space="preserve">特定对象调研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分析师会议</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媒体采访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业绩说明会</w:t>
            </w:r>
          </w:p>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 xml:space="preserve">新闻发布会           </w:t>
            </w: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路演活动</w:t>
            </w:r>
          </w:p>
          <w:p>
            <w:pPr>
              <w:shd w:val="clear" w:color="auto" w:fill="FFFFFF"/>
              <w:tabs>
                <w:tab w:val="left" w:pos="3045"/>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现场参观</w:t>
            </w:r>
            <w:r>
              <w:rPr>
                <w:rFonts w:hint="eastAsia" w:ascii="宋体" w:hAnsi="宋体" w:cs="宋体"/>
                <w:bCs/>
                <w:color w:val="000000"/>
                <w:kern w:val="0"/>
                <w:szCs w:val="21"/>
                <w:shd w:val="clear" w:color="auto" w:fill="FFFFFF"/>
              </w:rPr>
              <w:tab/>
            </w:r>
          </w:p>
          <w:p>
            <w:pPr>
              <w:shd w:val="clear" w:color="auto" w:fill="FFFFFF"/>
              <w:tabs>
                <w:tab w:val="center" w:pos="3199"/>
              </w:tabs>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sym w:font="Wingdings 2" w:char="00A3"/>
            </w:r>
            <w:r>
              <w:rPr>
                <w:rFonts w:hint="eastAsia" w:ascii="宋体" w:hAnsi="宋体" w:cs="宋体"/>
                <w:bCs/>
                <w:color w:val="000000"/>
                <w:kern w:val="0"/>
                <w:szCs w:val="21"/>
                <w:shd w:val="clear" w:color="auto" w:fill="FFFFFF"/>
              </w:rPr>
              <w:t>其他 （请文字说明其他活动内容</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 xml:space="preserve">  </w:t>
            </w:r>
            <w:r>
              <w:rPr>
                <w:rFonts w:hint="eastAsia" w:ascii="宋体" w:hAnsi="宋体" w:cs="宋体"/>
                <w:szCs w:val="21"/>
                <w:u w:val="single"/>
              </w:rPr>
              <w:t xml:space="preserve">                 </w:t>
            </w:r>
            <w:r>
              <w:rPr>
                <w:rFonts w:hint="eastAsia" w:ascii="宋体" w:hAnsi="宋体" w:cs="宋体"/>
                <w:bCs/>
                <w:color w:val="000000"/>
                <w:kern w:val="0"/>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FF"/>
                <w:kern w:val="0"/>
                <w:szCs w:val="21"/>
                <w:shd w:val="clear" w:color="auto" w:fill="FFFFFF"/>
              </w:rPr>
            </w:pPr>
            <w:r>
              <w:rPr>
                <w:rFonts w:hint="eastAsia" w:ascii="宋体" w:hAnsi="宋体" w:cs="宋体"/>
                <w:bCs/>
                <w:color w:val="000000"/>
                <w:kern w:val="0"/>
                <w:szCs w:val="21"/>
                <w:shd w:val="clear" w:color="auto" w:fill="FFFFFF"/>
              </w:rPr>
              <w:t>参与单位名称及人员姓名</w:t>
            </w:r>
          </w:p>
        </w:tc>
        <w:tc>
          <w:tcPr>
            <w:tcW w:w="7699" w:type="dxa"/>
            <w:tcBorders>
              <w:top w:val="single" w:color="auto" w:sz="4" w:space="0"/>
              <w:left w:val="single" w:color="auto" w:sz="4" w:space="0"/>
              <w:bottom w:val="single" w:color="auto" w:sz="4" w:space="0"/>
              <w:right w:val="single" w:color="auto" w:sz="4" w:space="0"/>
            </w:tcBorders>
          </w:tcPr>
          <w:p>
            <w:pPr>
              <w:tabs>
                <w:tab w:val="center" w:pos="3199"/>
              </w:tabs>
              <w:spacing w:line="56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东莞证券-魏红梅、陈伟光</w:t>
            </w:r>
            <w:r>
              <w:rPr>
                <w:rFonts w:ascii="宋体" w:hAnsi="宋体" w:cs="宋体"/>
                <w:bCs/>
                <w:color w:val="000000"/>
                <w:kern w:val="0"/>
                <w:szCs w:val="21"/>
                <w:shd w:val="clear" w:color="auto" w:fill="FFFFFF"/>
              </w:rPr>
              <w:t>；</w:t>
            </w:r>
            <w:r>
              <w:rPr>
                <w:rFonts w:hint="eastAsia" w:ascii="宋体" w:hAnsi="宋体" w:cs="宋体"/>
                <w:bCs/>
                <w:color w:val="000000"/>
                <w:kern w:val="0"/>
                <w:szCs w:val="21"/>
                <w:shd w:val="clear" w:color="auto" w:fill="FFFFFF"/>
              </w:rPr>
              <w:t>恒盈富达资产-杨南翔、吴齐；固禾资产-纪晓玲；千波资产-王好；华联期货-段福林等5家机构投资者。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时间</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2018年12月</w:t>
            </w:r>
            <w:r>
              <w:rPr>
                <w:rFonts w:ascii="宋体" w:hAnsi="宋体" w:cs="宋体"/>
                <w:bCs/>
                <w:color w:val="000000"/>
                <w:kern w:val="0"/>
                <w:szCs w:val="21"/>
                <w:shd w:val="clear" w:color="auto" w:fill="FFFFFF"/>
              </w:rPr>
              <w:t>17</w:t>
            </w:r>
            <w:r>
              <w:rPr>
                <w:rFonts w:hint="eastAsia" w:ascii="宋体" w:hAnsi="宋体" w:cs="宋体"/>
                <w:bCs/>
                <w:color w:val="000000"/>
                <w:kern w:val="0"/>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地点</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tabs>
                <w:tab w:val="center" w:pos="3199"/>
              </w:tabs>
              <w:spacing w:line="420" w:lineRule="exact"/>
              <w:ind w:firstLine="0" w:firstLineChars="0"/>
              <w:rPr>
                <w:rFonts w:ascii="宋体" w:hAnsi="宋体" w:cs="宋体"/>
                <w:szCs w:val="21"/>
              </w:rPr>
            </w:pPr>
            <w:r>
              <w:rPr>
                <w:rFonts w:hint="eastAsia" w:ascii="宋体" w:hAnsi="宋体" w:cs="宋体"/>
                <w:bCs/>
                <w:color w:val="000000"/>
                <w:kern w:val="0"/>
                <w:szCs w:val="21"/>
                <w:shd w:val="clear" w:color="auto" w:fill="FFFFFF"/>
              </w:rPr>
              <w:t>温氏总部19楼会议室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上市公司接待人员姓名</w:t>
            </w:r>
          </w:p>
        </w:tc>
        <w:tc>
          <w:tcPr>
            <w:tcW w:w="7699" w:type="dxa"/>
            <w:tcBorders>
              <w:top w:val="single" w:color="auto" w:sz="4" w:space="0"/>
              <w:left w:val="single" w:color="auto" w:sz="4" w:space="0"/>
              <w:bottom w:val="single" w:color="auto" w:sz="4" w:space="0"/>
              <w:right w:val="single" w:color="auto" w:sz="4" w:space="0"/>
            </w:tcBorders>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梁伟全、覃刚禄。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420" w:lineRule="exact"/>
              <w:ind w:firstLine="0" w:firstLineChars="0"/>
              <w:rPr>
                <w:rFonts w:ascii="宋体" w:hAnsi="宋体" w:cs="宋体"/>
                <w:bCs/>
                <w:color w:val="000000"/>
                <w:kern w:val="0"/>
                <w:szCs w:val="21"/>
                <w:shd w:val="clear" w:color="auto" w:fill="FFFFFF"/>
              </w:rPr>
            </w:pPr>
            <w:r>
              <w:rPr>
                <w:rFonts w:hint="eastAsia" w:ascii="宋体" w:hAnsi="宋体" w:cs="宋体"/>
                <w:bCs/>
                <w:color w:val="000000"/>
                <w:kern w:val="0"/>
                <w:szCs w:val="21"/>
                <w:shd w:val="clear" w:color="auto" w:fill="FFFFFF"/>
              </w:rPr>
              <w:t>投资者关系活动主要内容介绍</w:t>
            </w:r>
          </w:p>
          <w:p>
            <w:pPr>
              <w:widowControl w:val="0"/>
              <w:spacing w:line="240" w:lineRule="auto"/>
              <w:ind w:firstLine="0" w:firstLineChars="0"/>
              <w:rPr>
                <w:rFonts w:ascii="宋体" w:hAnsi="宋体" w:cs="宋体"/>
                <w:bCs/>
                <w:iCs/>
                <w:color w:val="000000"/>
                <w:szCs w:val="21"/>
              </w:rPr>
            </w:pPr>
          </w:p>
        </w:tc>
        <w:tc>
          <w:tcPr>
            <w:tcW w:w="7699" w:type="dxa"/>
            <w:tcBorders>
              <w:top w:val="single" w:color="auto" w:sz="4" w:space="0"/>
              <w:left w:val="single" w:color="auto" w:sz="4" w:space="0"/>
              <w:bottom w:val="single" w:color="auto" w:sz="4" w:space="0"/>
              <w:right w:val="single" w:color="auto" w:sz="4" w:space="0"/>
            </w:tcBorders>
          </w:tcPr>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一、非洲猪瘟概述</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现阶段非洲猪瘟尽管仍有发生，但是总体可控，处于多点散发状态，并没有出现大面积流行。非洲猪瘟对我国来说是一种全新的动物疫病，短时间内难以根除，公司已经做好长期防疫抗疫的准备。</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公司主要应对措施是：</w:t>
            </w:r>
          </w:p>
          <w:p>
            <w:pPr>
              <w:spacing w:line="560" w:lineRule="exact"/>
              <w:ind w:firstLine="0" w:firstLineChars="0"/>
              <w:rPr>
                <w:rFonts w:hint="eastAsia" w:ascii="宋体" w:hAnsi="宋体" w:eastAsia="宋体" w:cs="宋体"/>
                <w:bCs/>
                <w:color w:val="000000"/>
                <w:szCs w:val="21"/>
                <w:lang w:eastAsia="zh-CN"/>
              </w:rPr>
            </w:pPr>
            <w:r>
              <w:rPr>
                <w:rFonts w:hint="eastAsia" w:ascii="宋体" w:hAnsi="宋体" w:cs="宋体"/>
                <w:bCs/>
                <w:color w:val="000000"/>
                <w:szCs w:val="21"/>
              </w:rPr>
              <w:t>1）从思想上重视：全面提高生物安全防护等级，公司所有下属养猪公司进入非洲猪瘟防控最高等级战时状态，全力以赴做好非洲猪瘟疫情防控工作</w:t>
            </w:r>
            <w:r>
              <w:rPr>
                <w:rFonts w:hint="eastAsia" w:ascii="宋体" w:hAnsi="宋体" w:cs="宋体"/>
                <w:bCs/>
                <w:color w:val="000000"/>
                <w:szCs w:val="21"/>
                <w:lang w:eastAsia="zh-CN"/>
              </w:rPr>
              <w:t>；</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2）强化生物安全管控：完善防控流程，实施严格的卫生消毒工作，落实封锁隔离制度。加强人员、物资、运输车辆等关键环节监控，减少疫病传播风险；</w:t>
            </w:r>
          </w:p>
          <w:p>
            <w:pPr>
              <w:spacing w:line="560" w:lineRule="exact"/>
              <w:ind w:firstLine="0" w:firstLineChars="0"/>
              <w:rPr>
                <w:rFonts w:hint="eastAsia" w:ascii="宋体" w:hAnsi="宋体" w:cs="宋体"/>
                <w:bCs/>
                <w:color w:val="000000"/>
                <w:szCs w:val="21"/>
                <w:lang w:eastAsia="zh-CN"/>
              </w:rPr>
            </w:pPr>
            <w:r>
              <w:rPr>
                <w:rFonts w:hint="eastAsia" w:ascii="宋体" w:hAnsi="宋体" w:cs="宋体"/>
                <w:bCs/>
                <w:color w:val="000000"/>
                <w:szCs w:val="21"/>
              </w:rPr>
              <w:t>3）做好销售安排：加强与屠宰厂点对点销售联接，保证公司养猪业的大生产安全同时确保正常的销售秩序，保障销售畅通，降低疫区封锁的损失</w:t>
            </w:r>
            <w:r>
              <w:rPr>
                <w:rFonts w:hint="eastAsia" w:ascii="宋体" w:hAnsi="宋体" w:cs="宋体"/>
                <w:bCs/>
                <w:color w:val="000000"/>
                <w:szCs w:val="21"/>
                <w:lang w:eastAsia="zh-CN"/>
              </w:rPr>
              <w:t>；</w:t>
            </w:r>
          </w:p>
          <w:p>
            <w:pPr>
              <w:spacing w:line="560" w:lineRule="exact"/>
              <w:ind w:firstLine="0" w:firstLineChars="0"/>
              <w:rPr>
                <w:rFonts w:ascii="宋体" w:hAnsi="宋体" w:cs="宋体"/>
                <w:b/>
                <w:bCs/>
                <w:color w:val="000000"/>
                <w:szCs w:val="21"/>
              </w:rPr>
            </w:pPr>
            <w:bookmarkStart w:id="0" w:name="_GoBack"/>
            <w:bookmarkEnd w:id="0"/>
            <w:r>
              <w:rPr>
                <w:rFonts w:hint="eastAsia" w:ascii="宋体" w:hAnsi="宋体" w:cs="宋体"/>
                <w:bCs/>
                <w:color w:val="000000"/>
                <w:szCs w:val="21"/>
              </w:rPr>
              <w:t>4）继续加强生产一线员工、合作农户（或家庭农场）防疫知识培训、防疫措施落实及猪群健康检查力度，提高防疫专业能力。</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二、Q&amp;A环节</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1、怎么看公司的年度净利润有所下滑的情况？</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的年度净利润下滑是由于对标年度为2016年，2016年是生猪养殖行业周期的高峰期，之后行业周期进入下行通道。公司近年度净利润的下滑是由于行业周期调整导致的，并非由于企业经营不善。近年来公司按计划发展，实现阶段性经营目标，实现了高质量增长。</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 xml:space="preserve">2、公司对猪周期的分析？ </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答：今年上半年猪价已经达到十年来的低点，行业已经处于去产能的阶段。非洲猪瘟的出现可能会加速行业的产能出清，但具体什么时候能出现猪周期向上的拐点，现在还不好判断。</w:t>
            </w:r>
            <w:r>
              <w:rPr>
                <w:rFonts w:ascii="宋体" w:hAnsi="宋体" w:cs="宋体"/>
                <w:bCs/>
                <w:color w:val="000000"/>
                <w:szCs w:val="21"/>
              </w:rPr>
              <w:t xml:space="preserve"> </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3</w:t>
            </w:r>
            <w:r>
              <w:rPr>
                <w:rFonts w:hint="eastAsia" w:ascii="宋体" w:hAnsi="宋体" w:cs="宋体"/>
                <w:b/>
                <w:bCs/>
                <w:color w:val="000000"/>
                <w:szCs w:val="21"/>
              </w:rPr>
              <w:t>、市场价格下降，公司会调整与农户签约的委托养殖费用吗？</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答：公司采取一批一签的方式，按合同支付委托养殖费用，目前平均每头在200元左右</w:t>
            </w:r>
            <w:r>
              <w:rPr>
                <w:rFonts w:ascii="宋体" w:hAnsi="宋体" w:cs="宋体"/>
                <w:bCs/>
                <w:color w:val="000000"/>
                <w:szCs w:val="21"/>
              </w:rPr>
              <w:t>。</w:t>
            </w:r>
            <w:r>
              <w:rPr>
                <w:rFonts w:hint="eastAsia" w:ascii="宋体" w:hAnsi="宋体" w:cs="宋体"/>
                <w:bCs/>
                <w:color w:val="000000"/>
                <w:szCs w:val="21"/>
              </w:rPr>
              <w:t>公司通过引导合作农户对养殖场的升级改造，提高合作农户单批饲养规模和饲养效率，来提高其整体养殖效益。不同合作农户的委托养殖费用可能会因其个人饲养生产成绩表现不同，而有所差异。</w:t>
            </w:r>
          </w:p>
          <w:p>
            <w:pPr>
              <w:spacing w:line="560" w:lineRule="exact"/>
              <w:ind w:firstLine="0" w:firstLineChars="0"/>
              <w:rPr>
                <w:rFonts w:ascii="宋体" w:hAnsi="宋体" w:cs="宋体"/>
                <w:b/>
                <w:bCs/>
                <w:color w:val="000000"/>
                <w:szCs w:val="21"/>
              </w:rPr>
            </w:pPr>
            <w:r>
              <w:rPr>
                <w:rFonts w:ascii="宋体" w:hAnsi="宋体" w:cs="宋体"/>
                <w:b/>
                <w:bCs/>
                <w:color w:val="000000"/>
                <w:szCs w:val="21"/>
              </w:rPr>
              <w:t>4</w:t>
            </w:r>
            <w:r>
              <w:rPr>
                <w:rFonts w:hint="eastAsia" w:ascii="宋体" w:hAnsi="宋体" w:cs="宋体"/>
                <w:b/>
                <w:bCs/>
                <w:color w:val="000000"/>
                <w:szCs w:val="21"/>
              </w:rPr>
              <w:t>、禁运政策未来会收紧或放松？</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按农业农村部通知，非洲猪瘟疫情省以及与疫情省相邻的省份暂停生猪跨省调运，并暂时关闭省内所有生猪交易市场。目前国家出台规模养殖场与大型屠宰企业的点对点调运方案，控制疫情同时应对禁运政策带来的生猪销售流通受阻问题。未来禁运政策的收紧和放松，应该与疫情的转归趋势相适应。</w:t>
            </w:r>
          </w:p>
          <w:p>
            <w:pPr>
              <w:spacing w:line="560" w:lineRule="exact"/>
              <w:ind w:firstLine="0" w:firstLineChars="0"/>
              <w:rPr>
                <w:rFonts w:ascii="宋体" w:hAnsi="宋体" w:cs="宋体"/>
                <w:b/>
                <w:bCs/>
                <w:color w:val="000000"/>
                <w:szCs w:val="21"/>
              </w:rPr>
            </w:pPr>
            <w:r>
              <w:rPr>
                <w:rFonts w:hint="eastAsia" w:ascii="宋体" w:hAnsi="宋体" w:cs="宋体"/>
                <w:b/>
                <w:bCs/>
                <w:color w:val="000000"/>
                <w:szCs w:val="21"/>
              </w:rPr>
              <w:t>5、非洲猪瘟会影响公司未来的出栏计划吗？</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答：公司未来2年的出栏计划暂时没有改变。假如疫情的影响程度持续加深，公司会对各区域的情况进行深入调研，详细论证，再作出相应调整。</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6</w:t>
            </w:r>
            <w:r>
              <w:rPr>
                <w:rFonts w:hint="eastAsia" w:ascii="宋体" w:hAnsi="宋体" w:cs="宋体"/>
                <w:b/>
                <w:bCs/>
                <w:color w:val="000000"/>
                <w:szCs w:val="21"/>
              </w:rPr>
              <w:t>、公司每年对信息化建设的投入</w:t>
            </w:r>
            <w:r>
              <w:rPr>
                <w:rFonts w:ascii="宋体" w:hAnsi="宋体" w:cs="宋体"/>
                <w:b/>
                <w:bCs/>
                <w:color w:val="000000"/>
                <w:szCs w:val="21"/>
              </w:rPr>
              <w:t>？</w:t>
            </w:r>
          </w:p>
          <w:p>
            <w:pPr>
              <w:spacing w:line="560" w:lineRule="exact"/>
              <w:ind w:firstLine="0" w:firstLineChars="0"/>
              <w:rPr>
                <w:rFonts w:ascii="宋体" w:hAnsi="宋体" w:cs="宋体"/>
                <w:bCs/>
                <w:color w:val="000000"/>
                <w:szCs w:val="21"/>
              </w:rPr>
            </w:pPr>
            <w:r>
              <w:rPr>
                <w:rFonts w:hint="eastAsia" w:ascii="宋体" w:hAnsi="宋体" w:cs="宋体"/>
                <w:bCs/>
                <w:color w:val="000000"/>
                <w:szCs w:val="21"/>
              </w:rPr>
              <w:t>答：每年都有比较稳定的投入</w:t>
            </w:r>
            <w:r>
              <w:rPr>
                <w:rFonts w:ascii="宋体" w:hAnsi="宋体" w:cs="宋体"/>
                <w:bCs/>
                <w:color w:val="000000"/>
                <w:szCs w:val="21"/>
              </w:rPr>
              <w:t>,</w:t>
            </w:r>
            <w:r>
              <w:rPr>
                <w:rFonts w:hint="eastAsia" w:ascii="宋体" w:hAnsi="宋体" w:cs="宋体"/>
                <w:bCs/>
                <w:color w:val="000000"/>
                <w:szCs w:val="21"/>
              </w:rPr>
              <w:t>主要用于软件开发，硬件的采购与更新等。</w:t>
            </w:r>
          </w:p>
          <w:p>
            <w:pPr>
              <w:tabs>
                <w:tab w:val="left" w:pos="1770"/>
              </w:tabs>
              <w:spacing w:line="560" w:lineRule="exact"/>
              <w:ind w:firstLine="0" w:firstLineChars="0"/>
              <w:rPr>
                <w:rFonts w:ascii="宋体" w:hAnsi="宋体" w:cs="宋体"/>
                <w:b/>
                <w:bCs/>
                <w:color w:val="000000"/>
                <w:szCs w:val="21"/>
              </w:rPr>
            </w:pPr>
            <w:r>
              <w:rPr>
                <w:rFonts w:ascii="宋体" w:hAnsi="宋体" w:cs="宋体"/>
                <w:b/>
                <w:bCs/>
                <w:color w:val="000000"/>
                <w:szCs w:val="21"/>
              </w:rPr>
              <w:t>7</w:t>
            </w:r>
            <w:r>
              <w:rPr>
                <w:rFonts w:hint="eastAsia" w:ascii="宋体" w:hAnsi="宋体" w:cs="宋体"/>
                <w:b/>
                <w:bCs/>
                <w:color w:val="000000"/>
                <w:szCs w:val="21"/>
              </w:rPr>
              <w:t>、公司的育种优势？</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答：1）丰富的种质资源。公司核心种猪群规模在国内同行中处于领先优势,经过多年的研究和培育，已形成自己的各种配套系；</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2）专业的育种队伍。公司有一支专业的育种队伍，育种体系完善；</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3）多样化的成果转化基地。随着公司肉猪规模和布局的扩大，各种配套系可以得到有效的成果转化，根据各地对猪的需求不同生产出各具特色的商品肉猪产品。</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8、企业的产能计划为什么稳定在10-20%的扩张速度？</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答：公司采取稳健的经营策略，实现高质量增长。根据市场需求和企业自身发展情况制定对应的产能计划。</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9、公司屠宰业务的现状？</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答：屠宰业务仍处于探索阶段，主要是为完善公司的产业链。</w:t>
            </w:r>
          </w:p>
          <w:p>
            <w:pPr>
              <w:tabs>
                <w:tab w:val="left" w:pos="1770"/>
              </w:tabs>
              <w:spacing w:line="560" w:lineRule="exact"/>
              <w:ind w:firstLine="0" w:firstLineChars="0"/>
              <w:rPr>
                <w:rFonts w:ascii="宋体" w:hAnsi="宋体" w:cs="宋体"/>
                <w:b/>
                <w:bCs/>
                <w:color w:val="000000"/>
                <w:szCs w:val="21"/>
              </w:rPr>
            </w:pPr>
            <w:r>
              <w:rPr>
                <w:rFonts w:hint="eastAsia" w:ascii="宋体" w:hAnsi="宋体" w:cs="宋体"/>
                <w:b/>
                <w:bCs/>
                <w:color w:val="000000"/>
                <w:szCs w:val="21"/>
              </w:rPr>
              <w:t>10、公司有培育高端肉猪品种吗？</w:t>
            </w:r>
          </w:p>
          <w:p>
            <w:pPr>
              <w:tabs>
                <w:tab w:val="left" w:pos="1770"/>
              </w:tabs>
              <w:spacing w:line="560" w:lineRule="exact"/>
              <w:ind w:firstLine="0" w:firstLineChars="0"/>
              <w:rPr>
                <w:rFonts w:ascii="宋体" w:hAnsi="宋体" w:cs="宋体"/>
                <w:bCs/>
                <w:color w:val="000000"/>
                <w:szCs w:val="21"/>
              </w:rPr>
            </w:pPr>
            <w:r>
              <w:rPr>
                <w:rFonts w:hint="eastAsia" w:ascii="宋体" w:hAnsi="宋体" w:cs="宋体"/>
                <w:bCs/>
                <w:color w:val="000000"/>
                <w:szCs w:val="21"/>
              </w:rPr>
              <w:t xml:space="preserve">答：公司有培育特色、高端的肉猪品种，如天露黑猪等。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附件清单（如有）</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0" w:firstLineChars="0"/>
              <w:rPr>
                <w:rFonts w:ascii="宋体" w:hAnsi="宋体" w:cs="宋体"/>
                <w:bCs/>
                <w:iCs/>
                <w:color w:val="000000"/>
                <w:szCs w:val="21"/>
              </w:rPr>
            </w:pPr>
            <w:r>
              <w:rPr>
                <w:rFonts w:hint="eastAsia" w:ascii="宋体" w:hAnsi="宋体" w:cs="宋体"/>
                <w:bCs/>
                <w:iCs/>
                <w:color w:val="000000"/>
                <w:szCs w:val="21"/>
              </w:rPr>
              <w:t>日期</w:t>
            </w:r>
          </w:p>
        </w:tc>
        <w:tc>
          <w:tcPr>
            <w:tcW w:w="7699" w:type="dxa"/>
            <w:tcBorders>
              <w:top w:val="single" w:color="auto" w:sz="4" w:space="0"/>
              <w:left w:val="single" w:color="auto" w:sz="4" w:space="0"/>
              <w:bottom w:val="single" w:color="auto" w:sz="4" w:space="0"/>
              <w:right w:val="single" w:color="auto" w:sz="4" w:space="0"/>
            </w:tcBorders>
          </w:tcPr>
          <w:p>
            <w:pPr>
              <w:pStyle w:val="5"/>
              <w:shd w:val="clear" w:color="auto" w:fill="FFFFFF"/>
              <w:spacing w:before="0" w:beforeAutospacing="0" w:after="0" w:afterAutospacing="0" w:line="360" w:lineRule="auto"/>
              <w:ind w:firstLine="0" w:firstLineChars="0"/>
              <w:jc w:val="both"/>
              <w:rPr>
                <w:rFonts w:ascii="宋体" w:hAnsi="宋体" w:cs="宋体"/>
                <w:bCs/>
                <w:color w:val="000000"/>
                <w:sz w:val="21"/>
                <w:szCs w:val="21"/>
                <w:shd w:val="clear" w:color="auto" w:fill="FFFFFF"/>
              </w:rPr>
            </w:pPr>
            <w:r>
              <w:rPr>
                <w:rFonts w:hint="eastAsia" w:ascii="宋体" w:hAnsi="宋体" w:cs="宋体"/>
                <w:bCs/>
                <w:iCs/>
                <w:color w:val="000000"/>
                <w:kern w:val="2"/>
                <w:sz w:val="21"/>
                <w:szCs w:val="21"/>
              </w:rPr>
              <w:t>2018年12月19日</w:t>
            </w:r>
          </w:p>
        </w:tc>
      </w:tr>
    </w:tbl>
    <w:p>
      <w:pPr>
        <w:tabs>
          <w:tab w:val="left" w:pos="855"/>
        </w:tabs>
        <w:spacing w:line="240" w:lineRule="auto"/>
        <w:ind w:firstLine="0" w:firstLineChars="0"/>
        <w:rPr>
          <w:rFonts w:ascii="宋体" w:hAnsi="宋体"/>
          <w:color w:val="000000"/>
          <w:sz w:val="18"/>
          <w:szCs w:val="18"/>
        </w:rPr>
      </w:pPr>
    </w:p>
    <w:p>
      <w:pPr>
        <w:ind w:firstLine="420"/>
      </w:pPr>
    </w:p>
    <w:sectPr>
      <w:headerReference r:id="rId5" w:type="first"/>
      <w:footerReference r:id="rId8" w:type="first"/>
      <w:headerReference r:id="rId3" w:type="default"/>
      <w:footerReference r:id="rId6" w:type="default"/>
      <w:headerReference r:id="rId4" w:type="even"/>
      <w:footerReference r:id="rId7" w:type="even"/>
      <w:pgSz w:w="11905" w:h="16840"/>
      <w:pgMar w:top="1928" w:right="1247" w:bottom="1701" w:left="124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script"/>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